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ED" w:rsidRDefault="00E226ED" w:rsidP="00E226ED">
      <w:pPr>
        <w:pStyle w:val="Title"/>
      </w:pPr>
      <w:r>
        <w:t>Factsheet on conversion practices by Counting Ourselves, countingourselves.nz</w:t>
      </w:r>
    </w:p>
    <w:p w:rsidR="00E226ED" w:rsidRDefault="00E226ED" w:rsidP="00E226ED"/>
    <w:p w:rsidR="00E226ED" w:rsidRDefault="00E226ED" w:rsidP="00E226ED">
      <w:r>
        <w:t xml:space="preserve">Counting Ourselves: </w:t>
      </w:r>
      <w:proofErr w:type="gramStart"/>
      <w:r>
        <w:t>the</w:t>
      </w:r>
      <w:proofErr w:type="gramEnd"/>
      <w:r>
        <w:t xml:space="preserve"> Aotearoa New Zealand Trans and Non-Binary Health Survey is a large community-based study, that most people completed online.</w:t>
      </w:r>
    </w:p>
    <w:p w:rsidR="00E226ED" w:rsidRDefault="00E226ED" w:rsidP="00E226ED">
      <w:r>
        <w:t>It took place between June and September 2018 and was completed by 1,178 trans and non-binary people aged 14 or over who were living in Aotearoa. Our first community report was published in 2019.</w:t>
      </w:r>
    </w:p>
    <w:p w:rsidR="00E226ED" w:rsidRDefault="00E226ED" w:rsidP="00E226ED">
      <w:r>
        <w:t>This fact sheet explains what Counting Ourselves tells us about co</w:t>
      </w:r>
      <w:r>
        <w:t>nversion practices in Aotearoa.</w:t>
      </w:r>
    </w:p>
    <w:p w:rsidR="00E226ED" w:rsidRDefault="00E226ED" w:rsidP="00E226ED">
      <w:pPr>
        <w:pStyle w:val="Heading1"/>
      </w:pPr>
      <w:r>
        <w:t xml:space="preserve">What </w:t>
      </w:r>
      <w:r w:rsidRPr="00E226ED">
        <w:rPr>
          <w:i/>
        </w:rPr>
        <w:t>Counting Ourselves</w:t>
      </w:r>
      <w:r>
        <w:t xml:space="preserve"> tells us about conversion </w:t>
      </w:r>
      <w:proofErr w:type="gramStart"/>
      <w:r>
        <w:t>practices</w:t>
      </w:r>
      <w:proofErr w:type="gramEnd"/>
    </w:p>
    <w:p w:rsidR="00E226ED" w:rsidRDefault="00E226ED" w:rsidP="00E226ED">
      <w:pPr>
        <w:pStyle w:val="Heading2"/>
      </w:pPr>
      <w:r>
        <w:t>What are conversion practices?</w:t>
      </w:r>
    </w:p>
    <w:p w:rsidR="00E226ED" w:rsidRDefault="00E226ED" w:rsidP="00E226ED">
      <w:r>
        <w:t>Convers</w:t>
      </w:r>
      <w:r>
        <w:t xml:space="preserve">ion practices attempt to change </w:t>
      </w:r>
      <w:r>
        <w:t>or suppres</w:t>
      </w:r>
      <w:r>
        <w:t xml:space="preserve">s someone’s sexual orientation, </w:t>
      </w:r>
      <w:r>
        <w:t>gender</w:t>
      </w:r>
      <w:r>
        <w:t xml:space="preserve"> identity or expression, or sex </w:t>
      </w:r>
      <w:r>
        <w:t>charact</w:t>
      </w:r>
      <w:r>
        <w:t xml:space="preserve">eristics. Gender identity (GI) </w:t>
      </w:r>
      <w:r>
        <w:t xml:space="preserve">conversion </w:t>
      </w:r>
      <w:r>
        <w:t xml:space="preserve">practices are those that try to </w:t>
      </w:r>
      <w:r w:rsidRPr="00E226ED">
        <w:rPr>
          <w:i/>
        </w:rPr>
        <w:t>change or suppress</w:t>
      </w:r>
      <w:r>
        <w:t xml:space="preserve"> someone’s self-defined </w:t>
      </w:r>
      <w:r>
        <w:t>gender identity.</w:t>
      </w:r>
    </w:p>
    <w:p w:rsidR="00E226ED" w:rsidRDefault="00E226ED" w:rsidP="00E226ED">
      <w:r>
        <w:t>In t</w:t>
      </w:r>
      <w:r>
        <w:t xml:space="preserve">he past, people used terms like </w:t>
      </w:r>
      <w:r>
        <w:t>“conver</w:t>
      </w:r>
      <w:r>
        <w:t xml:space="preserve">sion therapy” to describe these </w:t>
      </w:r>
      <w:r>
        <w:t>practices.</w:t>
      </w:r>
      <w:r>
        <w:t xml:space="preserve"> However, the word “therapy” is </w:t>
      </w:r>
      <w:r>
        <w:t>not app</w:t>
      </w:r>
      <w:r>
        <w:t xml:space="preserve">ropriate. Being LGBTQIA+ is not </w:t>
      </w:r>
      <w:r>
        <w:t xml:space="preserve">an illness </w:t>
      </w:r>
      <w:r>
        <w:t xml:space="preserve">or disorder that needs therapy. </w:t>
      </w:r>
      <w:r>
        <w:t xml:space="preserve">A lesbian, </w:t>
      </w:r>
      <w:r>
        <w:t xml:space="preserve">gay or bisexual person’s sexual </w:t>
      </w:r>
      <w:r>
        <w:t>orient</w:t>
      </w:r>
      <w:r>
        <w:t xml:space="preserve">ation, or a trans or non-binary </w:t>
      </w:r>
      <w:r>
        <w:t>person’s ge</w:t>
      </w:r>
      <w:r>
        <w:t xml:space="preserve">nder identity or expression are </w:t>
      </w:r>
      <w:r>
        <w:t>not something</w:t>
      </w:r>
      <w:r>
        <w:t xml:space="preserve"> to treat or cure. In a similar </w:t>
      </w:r>
      <w:r>
        <w:t>way, an inte</w:t>
      </w:r>
      <w:r>
        <w:t xml:space="preserve">rsex person’s variations of sex </w:t>
      </w:r>
      <w:r>
        <w:t>characteristics,</w:t>
      </w:r>
      <w:r>
        <w:t xml:space="preserve"> their bodily diversity, is not </w:t>
      </w:r>
      <w:r>
        <w:t>something that needs to be changed.</w:t>
      </w:r>
    </w:p>
    <w:p w:rsidR="00E226ED" w:rsidRDefault="00E226ED" w:rsidP="00E226ED">
      <w:r>
        <w:t>In contrast to conversion practices, gender</w:t>
      </w:r>
      <w:r>
        <w:t xml:space="preserve">-affirming </w:t>
      </w:r>
      <w:r>
        <w:t>he</w:t>
      </w:r>
      <w:r>
        <w:t xml:space="preserve">althcare supports an individual </w:t>
      </w:r>
      <w:r>
        <w:t>to affirm, rather than suppress, their self</w:t>
      </w:r>
      <w:r>
        <w:t xml:space="preserve">-defined </w:t>
      </w:r>
      <w:r>
        <w:t>g</w:t>
      </w:r>
      <w:r>
        <w:t xml:space="preserve">ender identity and expression. </w:t>
      </w:r>
      <w:r>
        <w:t>For ma</w:t>
      </w:r>
      <w:r>
        <w:t xml:space="preserve">ny trans and non-binary people, </w:t>
      </w:r>
      <w:r>
        <w:t>gender-affi</w:t>
      </w:r>
      <w:r>
        <w:t xml:space="preserve">rming healthcare includes being </w:t>
      </w:r>
      <w:r>
        <w:t>able to ac</w:t>
      </w:r>
      <w:r>
        <w:t xml:space="preserve">cess medical interventions from </w:t>
      </w:r>
      <w:r>
        <w:t>trained cli</w:t>
      </w:r>
      <w:r>
        <w:t>nicians, competent in providing care to trans individuals.</w:t>
      </w:r>
    </w:p>
    <w:p w:rsidR="00E226ED" w:rsidRDefault="00E226ED" w:rsidP="00E226ED">
      <w:pPr>
        <w:pStyle w:val="Quote"/>
        <w:jc w:val="left"/>
      </w:pPr>
      <w:r>
        <w:t xml:space="preserve">Out of 610 participants who had ever spoken to a health professional about their gender, almost 1 in 5 (19.7%) said a health professional had tried to stop them being trans </w:t>
      </w:r>
      <w:r>
        <w:t>or non-binary.</w:t>
      </w:r>
    </w:p>
    <w:p w:rsidR="00E226ED" w:rsidRDefault="00E226ED" w:rsidP="00E226ED">
      <w:pPr>
        <w:pStyle w:val="Heading2"/>
      </w:pPr>
      <w:r w:rsidRPr="00E226ED">
        <w:rPr>
          <w:i/>
        </w:rPr>
        <w:t xml:space="preserve">Counting Ourselves </w:t>
      </w:r>
      <w:r>
        <w:t>data about conversion</w:t>
      </w:r>
      <w:r>
        <w:t xml:space="preserve"> </w:t>
      </w:r>
      <w:r>
        <w:t>practices by health professionals</w:t>
      </w:r>
    </w:p>
    <w:p w:rsidR="00E226ED" w:rsidRDefault="00E226ED" w:rsidP="00E226ED">
      <w:r>
        <w:t>Counting Ourselves l</w:t>
      </w:r>
      <w:r>
        <w:t xml:space="preserve">ooked at trans and non-binary </w:t>
      </w:r>
      <w:r>
        <w:t>people</w:t>
      </w:r>
      <w:r>
        <w:t xml:space="preserve">’s experiences of GI conversion </w:t>
      </w:r>
      <w:r>
        <w:t>practices by health professionals.</w:t>
      </w:r>
      <w:r>
        <w:rPr>
          <w:rStyle w:val="FootnoteReference"/>
        </w:rPr>
        <w:footnoteReference w:id="1"/>
      </w:r>
      <w:r w:rsidR="00FF2319">
        <w:t xml:space="preserve"> </w:t>
      </w:r>
    </w:p>
    <w:p w:rsidR="00E226ED" w:rsidRDefault="00E226ED" w:rsidP="00E226ED">
      <w:r>
        <w:lastRenderedPageBreak/>
        <w:t xml:space="preserve">Pie graph: </w:t>
      </w:r>
      <w:r>
        <w:t>Has any profes</w:t>
      </w:r>
      <w:r>
        <w:t xml:space="preserve">sional (such as a psychiatrist, </w:t>
      </w:r>
      <w:r>
        <w:t>psychologist or</w:t>
      </w:r>
      <w:r>
        <w:t xml:space="preserve"> counsellor) ever tried to make </w:t>
      </w:r>
      <w:r>
        <w:t>you identify</w:t>
      </w:r>
      <w:r>
        <w:t xml:space="preserve"> only with your sex assigned at </w:t>
      </w:r>
      <w:r>
        <w:t>birth (in other</w:t>
      </w:r>
      <w:r>
        <w:t xml:space="preserve"> words, tried to stop you being </w:t>
      </w:r>
      <w:r>
        <w:t>trans or non-binary)?</w:t>
      </w:r>
    </w:p>
    <w:p w:rsidR="00FF2319" w:rsidRDefault="00E226ED" w:rsidP="00E226ED">
      <w:r>
        <w:t>% of respondents</w:t>
      </w:r>
      <w:r w:rsidR="00FF2319">
        <w:t>:</w:t>
      </w:r>
    </w:p>
    <w:p w:rsidR="00E226ED" w:rsidRDefault="00E226ED" w:rsidP="00E226ED">
      <w:r>
        <w:t>19.7% Yes</w:t>
      </w:r>
      <w:r w:rsidR="00FF2319">
        <w:br/>
        <w:t>71.0% No</w:t>
      </w:r>
      <w:r w:rsidR="00FF2319">
        <w:br/>
      </w:r>
      <w:r>
        <w:t>9.3% Don’t know</w:t>
      </w:r>
    </w:p>
    <w:p w:rsidR="00E226ED" w:rsidRDefault="00E226ED" w:rsidP="00E226ED"/>
    <w:p w:rsidR="00E226ED" w:rsidRDefault="00E226ED" w:rsidP="00E226ED">
      <w:pPr>
        <w:pStyle w:val="Heading2"/>
      </w:pPr>
      <w:r>
        <w:t>Conversion p</w:t>
      </w:r>
      <w:r>
        <w:t xml:space="preserve">ractices are not ethical and do </w:t>
      </w:r>
      <w:r>
        <w:t>not work</w:t>
      </w:r>
    </w:p>
    <w:p w:rsidR="00E226ED" w:rsidRDefault="00E226ED" w:rsidP="00E226ED">
      <w:r>
        <w:t>Health professio</w:t>
      </w:r>
      <w:r>
        <w:t xml:space="preserve">nal bodies, including the </w:t>
      </w:r>
      <w:r w:rsidRPr="00E226ED">
        <w:rPr>
          <w:i/>
        </w:rPr>
        <w:t xml:space="preserve">World </w:t>
      </w:r>
      <w:r w:rsidRPr="00E226ED">
        <w:rPr>
          <w:i/>
        </w:rPr>
        <w:t>Professio</w:t>
      </w:r>
      <w:r w:rsidRPr="00E226ED">
        <w:rPr>
          <w:i/>
        </w:rPr>
        <w:t xml:space="preserve">nal Association for Transgender </w:t>
      </w:r>
      <w:r w:rsidRPr="00E226ED">
        <w:rPr>
          <w:i/>
        </w:rPr>
        <w:t>Health</w:t>
      </w:r>
      <w:r>
        <w:t>, have sai</w:t>
      </w:r>
      <w:r>
        <w:t xml:space="preserve">d attempts to change a person’s </w:t>
      </w:r>
      <w:r>
        <w:t xml:space="preserve">gender identity </w:t>
      </w:r>
      <w:r>
        <w:t xml:space="preserve">and lived gender expression are </w:t>
      </w:r>
      <w:r>
        <w:t>not ethical and</w:t>
      </w:r>
      <w:r>
        <w:t xml:space="preserve"> do not work, particularly over </w:t>
      </w:r>
      <w:r>
        <w:t>time.</w:t>
      </w:r>
    </w:p>
    <w:p w:rsidR="00FF2319" w:rsidRDefault="00E226ED" w:rsidP="00E226ED">
      <w:r>
        <w:t>Here in Aotea</w:t>
      </w:r>
      <w:r>
        <w:t xml:space="preserve">roa, health professional bodies </w:t>
      </w:r>
      <w:r>
        <w:t>have als</w:t>
      </w:r>
      <w:r>
        <w:t xml:space="preserve">o spoken out against conversion </w:t>
      </w:r>
      <w:r>
        <w:t>practices. E</w:t>
      </w:r>
      <w:r>
        <w:t xml:space="preserve">xamples include the </w:t>
      </w:r>
      <w:r w:rsidRPr="00E226ED">
        <w:rPr>
          <w:i/>
        </w:rPr>
        <w:t xml:space="preserve">New Zealand </w:t>
      </w:r>
      <w:r w:rsidRPr="00E226ED">
        <w:rPr>
          <w:i/>
        </w:rPr>
        <w:t>Medic</w:t>
      </w:r>
      <w:r w:rsidRPr="00E226ED">
        <w:rPr>
          <w:i/>
        </w:rPr>
        <w:t>al Association</w:t>
      </w:r>
      <w:r>
        <w:t xml:space="preserve">, the </w:t>
      </w:r>
      <w:r w:rsidRPr="00E226ED">
        <w:rPr>
          <w:i/>
        </w:rPr>
        <w:t xml:space="preserve">New Zealand </w:t>
      </w:r>
      <w:r w:rsidRPr="00E226ED">
        <w:rPr>
          <w:i/>
        </w:rPr>
        <w:t>Association o</w:t>
      </w:r>
      <w:r w:rsidRPr="00E226ED">
        <w:rPr>
          <w:i/>
        </w:rPr>
        <w:t>f Counsellors</w:t>
      </w:r>
      <w:r>
        <w:t xml:space="preserve">, the </w:t>
      </w:r>
      <w:r w:rsidRPr="00E226ED">
        <w:rPr>
          <w:i/>
        </w:rPr>
        <w:t xml:space="preserve">Aotearoa New </w:t>
      </w:r>
      <w:r w:rsidRPr="00E226ED">
        <w:rPr>
          <w:i/>
        </w:rPr>
        <w:t>Zealand Associa</w:t>
      </w:r>
      <w:r w:rsidRPr="00E226ED">
        <w:rPr>
          <w:i/>
        </w:rPr>
        <w:t>tion of Social Workers</w:t>
      </w:r>
      <w:r>
        <w:t xml:space="preserve">, the </w:t>
      </w:r>
      <w:r w:rsidRPr="00E226ED">
        <w:rPr>
          <w:i/>
        </w:rPr>
        <w:t xml:space="preserve">New </w:t>
      </w:r>
      <w:r w:rsidRPr="00E226ED">
        <w:rPr>
          <w:i/>
        </w:rPr>
        <w:t>Zealand Psych</w:t>
      </w:r>
      <w:r w:rsidRPr="00E226ED">
        <w:rPr>
          <w:i/>
        </w:rPr>
        <w:t>ologists Board</w:t>
      </w:r>
      <w:r>
        <w:t xml:space="preserve">, the </w:t>
      </w:r>
      <w:r w:rsidRPr="00E226ED">
        <w:rPr>
          <w:i/>
        </w:rPr>
        <w:t xml:space="preserve">New Zealand </w:t>
      </w:r>
      <w:r w:rsidRPr="00E226ED">
        <w:rPr>
          <w:i/>
        </w:rPr>
        <w:t xml:space="preserve">Psychological </w:t>
      </w:r>
      <w:r w:rsidRPr="00E226ED">
        <w:rPr>
          <w:i/>
        </w:rPr>
        <w:t>Society</w:t>
      </w:r>
      <w:r>
        <w:t xml:space="preserve"> including its </w:t>
      </w:r>
      <w:r w:rsidRPr="00E226ED">
        <w:rPr>
          <w:i/>
        </w:rPr>
        <w:t xml:space="preserve">Institute </w:t>
      </w:r>
      <w:r w:rsidRPr="00E226ED">
        <w:rPr>
          <w:i/>
        </w:rPr>
        <w:t>of Commun</w:t>
      </w:r>
      <w:r w:rsidRPr="00E226ED">
        <w:rPr>
          <w:i/>
        </w:rPr>
        <w:t>ity Psychologists Aotearoa</w:t>
      </w:r>
      <w:r>
        <w:t xml:space="preserve">, and </w:t>
      </w:r>
      <w:r>
        <w:t xml:space="preserve">the </w:t>
      </w:r>
      <w:r w:rsidRPr="00E226ED">
        <w:rPr>
          <w:i/>
        </w:rPr>
        <w:t>NZ Asso</w:t>
      </w:r>
      <w:r w:rsidRPr="00E226ED">
        <w:rPr>
          <w:i/>
        </w:rPr>
        <w:t xml:space="preserve">ciation of Child and Adolescent </w:t>
      </w:r>
      <w:r w:rsidRPr="00E226ED">
        <w:rPr>
          <w:i/>
        </w:rPr>
        <w:t>Psychotherapists</w:t>
      </w:r>
      <w:r>
        <w:t>.</w:t>
      </w:r>
      <w:r>
        <w:rPr>
          <w:rStyle w:val="FootnoteReference"/>
        </w:rPr>
        <w:footnoteReference w:id="2"/>
      </w:r>
      <w:r w:rsidR="00FF2319">
        <w:t xml:space="preserve"> </w:t>
      </w:r>
    </w:p>
    <w:p w:rsidR="00FF2319" w:rsidRDefault="00FF2319" w:rsidP="00E226ED"/>
    <w:p w:rsidR="00E226ED" w:rsidRDefault="00E226ED" w:rsidP="00FF2319">
      <w:pPr>
        <w:pStyle w:val="Heading2"/>
      </w:pPr>
      <w:r w:rsidRPr="00FF2319">
        <w:rPr>
          <w:i/>
        </w:rPr>
        <w:t xml:space="preserve">Counting </w:t>
      </w:r>
      <w:r w:rsidR="00FF2319" w:rsidRPr="00FF2319">
        <w:rPr>
          <w:i/>
        </w:rPr>
        <w:t>Ourselves</w:t>
      </w:r>
      <w:r w:rsidR="00FF2319">
        <w:t xml:space="preserve"> participants who were </w:t>
      </w:r>
      <w:r>
        <w:t>exposed to</w:t>
      </w:r>
      <w:r w:rsidR="00FF2319">
        <w:t xml:space="preserve"> conversion practices had worse </w:t>
      </w:r>
      <w:r>
        <w:t>mental health</w:t>
      </w:r>
    </w:p>
    <w:p w:rsidR="00E226ED" w:rsidRDefault="00E226ED" w:rsidP="00E226ED">
      <w:r>
        <w:t>Part</w:t>
      </w:r>
      <w:r w:rsidR="00FF2319">
        <w:t xml:space="preserve">icipants who had experienced GI </w:t>
      </w:r>
      <w:r>
        <w:t>conversion p</w:t>
      </w:r>
      <w:r w:rsidR="00FF2319">
        <w:t xml:space="preserve">ractices were more likely, than </w:t>
      </w:r>
      <w:r>
        <w:t>those who d</w:t>
      </w:r>
      <w:r w:rsidR="00FF2319">
        <w:t xml:space="preserve">id not, to report psychological </w:t>
      </w:r>
      <w:r>
        <w:t>distress, non</w:t>
      </w:r>
      <w:r w:rsidR="00FF2319">
        <w:t xml:space="preserve">-suicidal self-injury, suicidal </w:t>
      </w:r>
      <w:r>
        <w:t>ideation and suicide attempts.</w:t>
      </w:r>
    </w:p>
    <w:p w:rsidR="00E226ED" w:rsidRDefault="00E226ED" w:rsidP="00E226ED">
      <w:r>
        <w:t>These differe</w:t>
      </w:r>
      <w:r w:rsidR="00FF2319">
        <w:t xml:space="preserve">nces remained after considering </w:t>
      </w:r>
      <w:r>
        <w:t>the effects</w:t>
      </w:r>
      <w:r w:rsidR="00FF2319">
        <w:t xml:space="preserve"> of a person’s age or gender on </w:t>
      </w:r>
      <w:r>
        <w:t>mental health.</w:t>
      </w:r>
    </w:p>
    <w:p w:rsidR="00E226ED" w:rsidRDefault="00E226ED" w:rsidP="00E226ED">
      <w:r>
        <w:t>Tran</w:t>
      </w:r>
      <w:r w:rsidR="00FF2319">
        <w:t xml:space="preserve">s and non-binary people who had </w:t>
      </w:r>
      <w:r>
        <w:t>experienced GI conversion practices had:</w:t>
      </w:r>
    </w:p>
    <w:p w:rsidR="00E226ED" w:rsidRDefault="00E226ED" w:rsidP="00FF2319">
      <w:pPr>
        <w:pStyle w:val="ListParagraph"/>
        <w:numPr>
          <w:ilvl w:val="0"/>
          <w:numId w:val="2"/>
        </w:numPr>
      </w:pPr>
      <w:r>
        <w:t>higher r</w:t>
      </w:r>
      <w:r w:rsidR="00FF2319">
        <w:t xml:space="preserve">eported psychological distress, </w:t>
      </w:r>
      <w:r>
        <w:t>which includes depression and anxiety</w:t>
      </w:r>
    </w:p>
    <w:p w:rsidR="00E226ED" w:rsidRDefault="00E226ED" w:rsidP="00FF2319">
      <w:pPr>
        <w:pStyle w:val="ListParagraph"/>
        <w:numPr>
          <w:ilvl w:val="0"/>
          <w:numId w:val="2"/>
        </w:numPr>
      </w:pPr>
      <w:r>
        <w:t>mo</w:t>
      </w:r>
      <w:r w:rsidR="00FF2319">
        <w:t xml:space="preserve">re than two times the odds of </w:t>
      </w:r>
      <w:r>
        <w:t>non-suici</w:t>
      </w:r>
      <w:r w:rsidR="00FF2319">
        <w:t xml:space="preserve">dal self-injury and of suicidal </w:t>
      </w:r>
      <w:r>
        <w:t>ideation, and</w:t>
      </w:r>
    </w:p>
    <w:p w:rsidR="00E226ED" w:rsidRDefault="00E226ED" w:rsidP="00FF2319">
      <w:pPr>
        <w:pStyle w:val="ListParagraph"/>
        <w:numPr>
          <w:ilvl w:val="0"/>
          <w:numId w:val="2"/>
        </w:numPr>
      </w:pPr>
      <w:r>
        <w:t>almost</w:t>
      </w:r>
      <w:r w:rsidR="00FF2319">
        <w:t xml:space="preserve"> four times the odds of suicide </w:t>
      </w:r>
      <w:r>
        <w:t>attempts.</w:t>
      </w:r>
    </w:p>
    <w:p w:rsidR="00E226ED" w:rsidRDefault="00E226ED" w:rsidP="00E226ED">
      <w:r>
        <w:t xml:space="preserve">These findings </w:t>
      </w:r>
      <w:r w:rsidR="00FF2319">
        <w:t xml:space="preserve">were statistically significant, </w:t>
      </w:r>
      <w:r>
        <w:t>which means it</w:t>
      </w:r>
      <w:r w:rsidR="00FF2319">
        <w:t xml:space="preserve"> is unlikely that we found this </w:t>
      </w:r>
      <w:r>
        <w:t>due to random chance.</w:t>
      </w:r>
    </w:p>
    <w:p w:rsidR="00E226ED" w:rsidRDefault="00E226ED" w:rsidP="00E226ED">
      <w:r>
        <w:t>Most of this ha</w:t>
      </w:r>
      <w:r w:rsidR="00FF2319">
        <w:t xml:space="preserve">rm is directly caused by the GI </w:t>
      </w:r>
      <w:r>
        <w:t>conversion prac</w:t>
      </w:r>
      <w:r w:rsidR="00FF2319">
        <w:t xml:space="preserve">tices themselves. However, such </w:t>
      </w:r>
      <w:r>
        <w:t>practices also increased trans and non-binary</w:t>
      </w:r>
      <w:r w:rsidR="00FF2319">
        <w:t xml:space="preserve"> </w:t>
      </w:r>
      <w:r>
        <w:t>people’s negative feelings about their gender</w:t>
      </w:r>
      <w:r w:rsidR="00FF2319">
        <w:t xml:space="preserve"> </w:t>
      </w:r>
      <w:r>
        <w:t>identity. Thi</w:t>
      </w:r>
      <w:r w:rsidR="00FF2319">
        <w:t xml:space="preserve">s internalised transphobia also </w:t>
      </w:r>
      <w:r>
        <w:t>predicts worse mental health outcomes.</w:t>
      </w:r>
    </w:p>
    <w:p w:rsidR="00E226ED" w:rsidRDefault="00E226ED" w:rsidP="00FF2319">
      <w:pPr>
        <w:pStyle w:val="Heading2"/>
      </w:pPr>
      <w:r>
        <w:lastRenderedPageBreak/>
        <w:t>Youth ar</w:t>
      </w:r>
      <w:r w:rsidR="00FF2319">
        <w:t xml:space="preserve">e more vulnerable to conversion </w:t>
      </w:r>
      <w:r>
        <w:t>practices</w:t>
      </w:r>
    </w:p>
    <w:p w:rsidR="00E226ED" w:rsidRDefault="00E226ED" w:rsidP="00E226ED">
      <w:r w:rsidRPr="00FF2319">
        <w:rPr>
          <w:i/>
        </w:rPr>
        <w:t>Counting Our</w:t>
      </w:r>
      <w:r w:rsidR="00FF2319" w:rsidRPr="00FF2319">
        <w:rPr>
          <w:i/>
        </w:rPr>
        <w:t xml:space="preserve">selves </w:t>
      </w:r>
      <w:r w:rsidR="00FF2319">
        <w:t xml:space="preserve">survey participants aged </w:t>
      </w:r>
      <w:r>
        <w:t>14-24 were mor</w:t>
      </w:r>
      <w:r w:rsidR="00FF2319">
        <w:t xml:space="preserve">e likely to have experienced GI </w:t>
      </w:r>
      <w:r>
        <w:t>conversion pra</w:t>
      </w:r>
      <w:r w:rsidR="00FF2319">
        <w:t xml:space="preserve">ctices. This reinforces what we </w:t>
      </w:r>
      <w:r>
        <w:t>are hearing, that</w:t>
      </w:r>
      <w:r w:rsidR="00FF2319">
        <w:t xml:space="preserve"> conversion practices are still </w:t>
      </w:r>
      <w:r>
        <w:t>occurring in Aotearoa.</w:t>
      </w:r>
    </w:p>
    <w:p w:rsidR="00E226ED" w:rsidRDefault="00E226ED" w:rsidP="00E226ED">
      <w:r>
        <w:t>In other cou</w:t>
      </w:r>
      <w:r w:rsidR="00FF2319">
        <w:t xml:space="preserve">ntries, research has identified </w:t>
      </w:r>
      <w:r>
        <w:t>how some he</w:t>
      </w:r>
      <w:r w:rsidR="00FF2319">
        <w:t xml:space="preserve">alth professionals working with </w:t>
      </w:r>
      <w:r>
        <w:t>children and</w:t>
      </w:r>
      <w:r w:rsidR="00FF2319">
        <w:t xml:space="preserve"> adolescents promote and use GI </w:t>
      </w:r>
      <w:r>
        <w:t>conversion p</w:t>
      </w:r>
      <w:r w:rsidR="00FF2319">
        <w:t xml:space="preserve">ractices. Our participants aged </w:t>
      </w:r>
      <w:r>
        <w:t>14-24 m</w:t>
      </w:r>
      <w:r w:rsidR="00FF2319">
        <w:t xml:space="preserve">ay have been the age group most </w:t>
      </w:r>
      <w:r>
        <w:t xml:space="preserve">likely to have talked to </w:t>
      </w:r>
      <w:r w:rsidR="00FF2319">
        <w:t xml:space="preserve">health professionals </w:t>
      </w:r>
      <w:r>
        <w:t>about their ge</w:t>
      </w:r>
      <w:r w:rsidR="00FF2319">
        <w:t xml:space="preserve">nder while they were a child or </w:t>
      </w:r>
      <w:r>
        <w:t>adolescent. T</w:t>
      </w:r>
      <w:r w:rsidR="00FF2319">
        <w:t xml:space="preserve">his potentially exposes them to </w:t>
      </w:r>
      <w:r>
        <w:t xml:space="preserve">the minority </w:t>
      </w:r>
      <w:r w:rsidR="00FF2319">
        <w:t xml:space="preserve">of health professionals who use </w:t>
      </w:r>
      <w:r>
        <w:t>conversion pr</w:t>
      </w:r>
      <w:r w:rsidR="00FF2319">
        <w:t xml:space="preserve">actices. Many reported positive </w:t>
      </w:r>
      <w:r>
        <w:t>experiences from</w:t>
      </w:r>
      <w:r w:rsidR="00FF2319">
        <w:t xml:space="preserve"> their interactions with health </w:t>
      </w:r>
      <w:r>
        <w:t>professionals t</w:t>
      </w:r>
      <w:r w:rsidR="00FF2319">
        <w:t xml:space="preserve">oo but youth also faced greater </w:t>
      </w:r>
      <w:r>
        <w:t>resistanc</w:t>
      </w:r>
      <w:r w:rsidR="00FF2319">
        <w:t xml:space="preserve">e when wanting to explore their </w:t>
      </w:r>
      <w:r>
        <w:t>gender.</w:t>
      </w:r>
    </w:p>
    <w:p w:rsidR="00E226ED" w:rsidRDefault="00E226ED" w:rsidP="00E226ED"/>
    <w:p w:rsidR="00E226ED" w:rsidRDefault="00E226ED" w:rsidP="00FF2319">
      <w:pPr>
        <w:pStyle w:val="Heading2"/>
      </w:pPr>
      <w:r>
        <w:t>Other poten</w:t>
      </w:r>
      <w:r w:rsidR="00FF2319">
        <w:t xml:space="preserve">tial places where GI conversion </w:t>
      </w:r>
      <w:r>
        <w:t>practices occur</w:t>
      </w:r>
    </w:p>
    <w:p w:rsidR="00E226ED" w:rsidRDefault="00E226ED" w:rsidP="00E226ED">
      <w:r>
        <w:t xml:space="preserve">The </w:t>
      </w:r>
      <w:r w:rsidRPr="00FF2319">
        <w:rPr>
          <w:i/>
        </w:rPr>
        <w:t>Counting Ou</w:t>
      </w:r>
      <w:r w:rsidR="00FF2319" w:rsidRPr="00FF2319">
        <w:rPr>
          <w:i/>
        </w:rPr>
        <w:t>rselves</w:t>
      </w:r>
      <w:r w:rsidR="00FF2319">
        <w:t xml:space="preserve"> survey question focused </w:t>
      </w:r>
      <w:r>
        <w:t>on conversion pra</w:t>
      </w:r>
      <w:r w:rsidR="00FF2319">
        <w:t xml:space="preserve">ctices by health professionals. </w:t>
      </w:r>
      <w:r>
        <w:t>However, th</w:t>
      </w:r>
      <w:r w:rsidR="00FF2319">
        <w:t xml:space="preserve">e data suggests some other ways </w:t>
      </w:r>
      <w:r>
        <w:t>that conversion practices occur in Aotearoa.</w:t>
      </w:r>
    </w:p>
    <w:p w:rsidR="00E226ED" w:rsidRDefault="00E226ED" w:rsidP="00E226ED">
      <w:r>
        <w:t xml:space="preserve">Trans </w:t>
      </w:r>
      <w:r w:rsidR="00FF2319">
        <w:t xml:space="preserve">and non-binary people from some </w:t>
      </w:r>
      <w:r>
        <w:t>religious backg</w:t>
      </w:r>
      <w:r w:rsidR="00FF2319">
        <w:t xml:space="preserve">rounds were more likely to have </w:t>
      </w:r>
      <w:r>
        <w:t>experienced c</w:t>
      </w:r>
      <w:r w:rsidR="00FF2319">
        <w:t xml:space="preserve">onversion practices from health </w:t>
      </w:r>
      <w:r>
        <w:t>professionals. Those whose religion was no</w:t>
      </w:r>
      <w:r w:rsidR="00FF2319">
        <w:t xml:space="preserve">t </w:t>
      </w:r>
      <w:r>
        <w:t>Christian had gr</w:t>
      </w:r>
      <w:r w:rsidR="00FF2319">
        <w:t xml:space="preserve">eater exposure to GI conversion </w:t>
      </w:r>
      <w:r>
        <w:t>practices t</w:t>
      </w:r>
      <w:r w:rsidR="00FF2319">
        <w:t xml:space="preserve">han Christians or those with no </w:t>
      </w:r>
      <w:r>
        <w:t>religion.</w:t>
      </w:r>
    </w:p>
    <w:p w:rsidR="00E226ED" w:rsidRDefault="00E226ED" w:rsidP="00E226ED">
      <w:r>
        <w:t>In additi</w:t>
      </w:r>
      <w:r w:rsidR="00FF2319">
        <w:t xml:space="preserve">on, trans and non-binary people </w:t>
      </w:r>
      <w:r>
        <w:t>reported reject</w:t>
      </w:r>
      <w:r w:rsidR="00FF2319">
        <w:t xml:space="preserve">ion from spiritual or religious </w:t>
      </w:r>
      <w:r>
        <w:t>commun</w:t>
      </w:r>
      <w:r w:rsidR="00FF2319">
        <w:t xml:space="preserve">ities in response to some other </w:t>
      </w:r>
      <w:r w:rsidRPr="00FF2319">
        <w:rPr>
          <w:i/>
        </w:rPr>
        <w:t>Counting Ourselves</w:t>
      </w:r>
      <w:r>
        <w:t xml:space="preserve"> question</w:t>
      </w:r>
      <w:r w:rsidR="00FF2319">
        <w:t xml:space="preserve">s. More than a </w:t>
      </w:r>
      <w:r>
        <w:t xml:space="preserve">quarter (28%) </w:t>
      </w:r>
      <w:r w:rsidR="00FF2319">
        <w:t xml:space="preserve">had left spiritual or religious </w:t>
      </w:r>
      <w:r>
        <w:t>communities be</w:t>
      </w:r>
      <w:r w:rsidR="00FF2319">
        <w:t xml:space="preserve">cause they feared rejection for </w:t>
      </w:r>
      <w:r>
        <w:t>being trans or n</w:t>
      </w:r>
      <w:r w:rsidR="00FF2319">
        <w:t xml:space="preserve">on-binary, while 14% left after </w:t>
      </w:r>
      <w:r>
        <w:t>being rejecte</w:t>
      </w:r>
      <w:r w:rsidR="00FF2319">
        <w:t xml:space="preserve">d. Asian participants were more </w:t>
      </w:r>
      <w:r>
        <w:t xml:space="preserve">likely to report </w:t>
      </w:r>
      <w:r w:rsidR="00FF2319">
        <w:t xml:space="preserve">being rejected because of their </w:t>
      </w:r>
      <w:r>
        <w:t>gender identity (26</w:t>
      </w:r>
      <w:r w:rsidR="00FF2319">
        <w:t xml:space="preserve">%) or leaving due to fears this </w:t>
      </w:r>
      <w:r>
        <w:t>would happen (52%).</w:t>
      </w:r>
    </w:p>
    <w:p w:rsidR="00E226ED" w:rsidRDefault="00E226ED" w:rsidP="00E226ED">
      <w:r>
        <w:t>Tran</w:t>
      </w:r>
      <w:r w:rsidR="00FF2319">
        <w:t xml:space="preserve">s and non-binary people who had </w:t>
      </w:r>
      <w:r>
        <w:t xml:space="preserve">experienced </w:t>
      </w:r>
      <w:r w:rsidR="00FF2319">
        <w:t xml:space="preserve">family rejection were also more </w:t>
      </w:r>
      <w:r>
        <w:t xml:space="preserve">likely to </w:t>
      </w:r>
      <w:r w:rsidR="00FF2319">
        <w:t xml:space="preserve">say they had been exposed to GI </w:t>
      </w:r>
      <w:r>
        <w:t>conversion pract</w:t>
      </w:r>
      <w:r w:rsidR="00FF2319">
        <w:t xml:space="preserve">ices. This suggests that family </w:t>
      </w:r>
      <w:r>
        <w:t>rejection may invol</w:t>
      </w:r>
      <w:r w:rsidR="00FF2319">
        <w:t xml:space="preserve">ve family taking their trans or </w:t>
      </w:r>
      <w:r>
        <w:t>non-binary child</w:t>
      </w:r>
      <w:r w:rsidR="00FF2319">
        <w:t xml:space="preserve"> to a professional who performs </w:t>
      </w:r>
      <w:r>
        <w:t>conversion</w:t>
      </w:r>
      <w:r w:rsidR="00FF2319">
        <w:t xml:space="preserve"> practices. We know that family </w:t>
      </w:r>
      <w:r>
        <w:t>rejection an</w:t>
      </w:r>
      <w:r w:rsidR="00FF2319">
        <w:t xml:space="preserve">d conversion practices are both </w:t>
      </w:r>
      <w:r>
        <w:t>linked to p</w:t>
      </w:r>
      <w:r w:rsidR="00FF2319">
        <w:t xml:space="preserve">sychological harm for trans and </w:t>
      </w:r>
      <w:r>
        <w:t>non-binary people.</w:t>
      </w:r>
    </w:p>
    <w:p w:rsidR="00E226ED" w:rsidRDefault="00E226ED" w:rsidP="00E226ED"/>
    <w:p w:rsidR="00E226ED" w:rsidRDefault="00E226ED" w:rsidP="00FF2319">
      <w:pPr>
        <w:pStyle w:val="Heading2"/>
      </w:pPr>
      <w:r>
        <w:t>The difference family support makes</w:t>
      </w:r>
    </w:p>
    <w:p w:rsidR="00E226ED" w:rsidRDefault="00E226ED" w:rsidP="00E226ED">
      <w:r>
        <w:t xml:space="preserve">Most </w:t>
      </w:r>
      <w:r w:rsidRPr="00FF2319">
        <w:rPr>
          <w:i/>
        </w:rPr>
        <w:t>Counting Ou</w:t>
      </w:r>
      <w:r w:rsidR="00FF2319" w:rsidRPr="00FF2319">
        <w:rPr>
          <w:i/>
        </w:rPr>
        <w:t>rselves</w:t>
      </w:r>
      <w:r w:rsidR="00FF2319">
        <w:t xml:space="preserve"> participants (81%) said </w:t>
      </w:r>
      <w:r>
        <w:t>at least one of</w:t>
      </w:r>
      <w:r w:rsidR="00FF2319">
        <w:t xml:space="preserve"> their family members knew that </w:t>
      </w:r>
      <w:r>
        <w:t>they are trans o</w:t>
      </w:r>
      <w:r w:rsidR="00FF2319">
        <w:t xml:space="preserve">r non-binary. Among this group, </w:t>
      </w:r>
      <w:r>
        <w:t xml:space="preserve">more than half </w:t>
      </w:r>
      <w:r w:rsidR="00FF2319">
        <w:t xml:space="preserve">(57%) reported that most or all </w:t>
      </w:r>
      <w:r>
        <w:t>of their family w</w:t>
      </w:r>
      <w:r w:rsidR="00FF2319">
        <w:t xml:space="preserve">ere supportive of their gender. </w:t>
      </w:r>
      <w:r>
        <w:t>Youth, those</w:t>
      </w:r>
      <w:r w:rsidR="00FF2319">
        <w:t xml:space="preserve"> aged 14-24, were the age group </w:t>
      </w:r>
      <w:r>
        <w:t xml:space="preserve">most likely </w:t>
      </w:r>
      <w:r w:rsidR="00FF2319">
        <w:t xml:space="preserve">to report positive support from </w:t>
      </w:r>
      <w:r>
        <w:t>family.</w:t>
      </w:r>
    </w:p>
    <w:p w:rsidR="00E226ED" w:rsidRDefault="00E226ED" w:rsidP="00E226ED">
      <w:r>
        <w:t>Trans and</w:t>
      </w:r>
      <w:r w:rsidR="00FF2319">
        <w:t xml:space="preserve"> non-binary people who had this </w:t>
      </w:r>
      <w:r>
        <w:t xml:space="preserve">support from at </w:t>
      </w:r>
      <w:r w:rsidR="00FF2319">
        <w:t xml:space="preserve">least half of their family were </w:t>
      </w:r>
      <w:r>
        <w:t>less likely to a</w:t>
      </w:r>
      <w:r w:rsidR="00FF2319">
        <w:t xml:space="preserve">ttempt suicide. In the previous </w:t>
      </w:r>
      <w:r>
        <w:t>12 months, 9% of those with</w:t>
      </w:r>
      <w:r w:rsidR="00FF2319">
        <w:t xml:space="preserve"> this support had </w:t>
      </w:r>
      <w:r>
        <w:t>attempted suici</w:t>
      </w:r>
      <w:r w:rsidR="00FF2319">
        <w:t xml:space="preserve">de compared to 17% of trans and </w:t>
      </w:r>
      <w:r>
        <w:t>non-binary peopl</w:t>
      </w:r>
      <w:r w:rsidR="00FF2319">
        <w:t xml:space="preserve">e who said most of their family </w:t>
      </w:r>
      <w:r>
        <w:t>were unsupportive or very unsupportive.</w:t>
      </w:r>
    </w:p>
    <w:p w:rsidR="00E226ED" w:rsidRDefault="00E226ED" w:rsidP="00E226ED">
      <w:r>
        <w:t>To prevent the d</w:t>
      </w:r>
      <w:r w:rsidR="00FF2319">
        <w:t xml:space="preserve">emand for conversion practices, </w:t>
      </w:r>
      <w:r>
        <w:t>families</w:t>
      </w:r>
      <w:r w:rsidR="00FF2319">
        <w:t xml:space="preserve"> and whānau require support and </w:t>
      </w:r>
      <w:r>
        <w:t>education about</w:t>
      </w:r>
      <w:r w:rsidR="00FF2319">
        <w:t xml:space="preserve"> gender diversity, so that they </w:t>
      </w:r>
      <w:r>
        <w:t>are equipped</w:t>
      </w:r>
      <w:r w:rsidR="00FF2319">
        <w:t xml:space="preserve"> and confident to support trans </w:t>
      </w:r>
      <w:r>
        <w:t>and non-binary family members.</w:t>
      </w:r>
    </w:p>
    <w:p w:rsidR="00E226ED" w:rsidRDefault="00E226ED" w:rsidP="00E226ED"/>
    <w:p w:rsidR="00E226ED" w:rsidRDefault="00E226ED" w:rsidP="00FF2319">
      <w:pPr>
        <w:pStyle w:val="Heading2"/>
      </w:pPr>
      <w:r>
        <w:lastRenderedPageBreak/>
        <w:t>A Call to Action</w:t>
      </w:r>
    </w:p>
    <w:p w:rsidR="00E226ED" w:rsidRDefault="00E226ED" w:rsidP="00E226ED">
      <w:r w:rsidRPr="00FF2319">
        <w:rPr>
          <w:i/>
        </w:rPr>
        <w:t>Counting Ourselves</w:t>
      </w:r>
      <w:r w:rsidR="00FF2319">
        <w:t xml:space="preserve"> findings support the </w:t>
      </w:r>
      <w:r>
        <w:t>profession</w:t>
      </w:r>
      <w:r w:rsidR="00FF2319">
        <w:t xml:space="preserve">al consensus that GI conversion </w:t>
      </w:r>
      <w:r>
        <w:t>practices harm trans and non-binar</w:t>
      </w:r>
      <w:r w:rsidR="00FF2319">
        <w:t xml:space="preserve">y people’s </w:t>
      </w:r>
      <w:r>
        <w:t>mental health.</w:t>
      </w:r>
    </w:p>
    <w:p w:rsidR="00E226ED" w:rsidRDefault="00E226ED" w:rsidP="00E226ED">
      <w:r>
        <w:t>Action is ne</w:t>
      </w:r>
      <w:r w:rsidR="00FF2319">
        <w:t xml:space="preserve">eded to prevent the harm caused </w:t>
      </w:r>
      <w:r>
        <w:t>by GI conversion</w:t>
      </w:r>
      <w:r w:rsidR="00FF2319">
        <w:t xml:space="preserve"> practices wherever they occur, </w:t>
      </w:r>
      <w:r>
        <w:t>including withi</w:t>
      </w:r>
      <w:r w:rsidR="00FF2319">
        <w:t xml:space="preserve">n health, religious, family and </w:t>
      </w:r>
      <w:r>
        <w:t>community settings.</w:t>
      </w:r>
    </w:p>
    <w:p w:rsidR="00E226ED" w:rsidRDefault="00E226ED" w:rsidP="00E226ED"/>
    <w:p w:rsidR="00E226ED" w:rsidRDefault="00E226ED" w:rsidP="00E226ED">
      <w:r>
        <w:t xml:space="preserve">Developed by the Transgender Health Research Lab at the University of Waikato, with the support of Te </w:t>
      </w:r>
      <w:proofErr w:type="spellStart"/>
      <w:r>
        <w:t>Ngākau</w:t>
      </w:r>
      <w:proofErr w:type="spellEnd"/>
      <w:r>
        <w:t xml:space="preserve"> </w:t>
      </w:r>
      <w:proofErr w:type="spellStart"/>
      <w:r>
        <w:t>Kahukura</w:t>
      </w:r>
      <w:proofErr w:type="spellEnd"/>
      <w:r>
        <w:t>.</w:t>
      </w:r>
    </w:p>
    <w:p w:rsidR="00E226ED" w:rsidRDefault="00E226ED" w:rsidP="00E226ED">
      <w:r>
        <w:t xml:space="preserve">Illustrations: </w:t>
      </w:r>
      <w:proofErr w:type="spellStart"/>
      <w:r>
        <w:t>Huriana</w:t>
      </w:r>
      <w:proofErr w:type="spellEnd"/>
      <w:r>
        <w:t xml:space="preserve"> </w:t>
      </w:r>
      <w:proofErr w:type="spellStart"/>
      <w:r>
        <w:t>Kopeke</w:t>
      </w:r>
      <w:proofErr w:type="spellEnd"/>
      <w:r>
        <w:t xml:space="preserve">-Te </w:t>
      </w:r>
      <w:proofErr w:type="spellStart"/>
      <w:r>
        <w:t>Aho</w:t>
      </w:r>
      <w:proofErr w:type="spellEnd"/>
      <w:r w:rsidR="00FF2319">
        <w:t xml:space="preserve">: close-ups of hands holding, touching and praying, with the trans and non-binary flags in the background. A group of two adults and two young people with a sign saying “Family” behind them. A group of nine people </w:t>
      </w:r>
      <w:bookmarkStart w:id="0" w:name="_GoBack"/>
      <w:bookmarkEnd w:id="0"/>
      <w:r w:rsidR="00FF2319">
        <w:t>standing in front of a trans flag.</w:t>
      </w:r>
    </w:p>
    <w:p w:rsidR="00FF70D2" w:rsidRDefault="00743F9A" w:rsidP="00E226ED"/>
    <w:sectPr w:rsidR="00FF7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9A" w:rsidRDefault="00743F9A" w:rsidP="00E226ED">
      <w:pPr>
        <w:spacing w:after="0" w:line="240" w:lineRule="auto"/>
      </w:pPr>
      <w:r>
        <w:separator/>
      </w:r>
    </w:p>
  </w:endnote>
  <w:endnote w:type="continuationSeparator" w:id="0">
    <w:p w:rsidR="00743F9A" w:rsidRDefault="00743F9A" w:rsidP="00E2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9A" w:rsidRDefault="00743F9A" w:rsidP="00E226ED">
      <w:pPr>
        <w:spacing w:after="0" w:line="240" w:lineRule="auto"/>
      </w:pPr>
      <w:r>
        <w:separator/>
      </w:r>
    </w:p>
  </w:footnote>
  <w:footnote w:type="continuationSeparator" w:id="0">
    <w:p w:rsidR="00743F9A" w:rsidRDefault="00743F9A" w:rsidP="00E226ED">
      <w:pPr>
        <w:spacing w:after="0" w:line="240" w:lineRule="auto"/>
      </w:pPr>
      <w:r>
        <w:continuationSeparator/>
      </w:r>
    </w:p>
  </w:footnote>
  <w:footnote w:id="1">
    <w:p w:rsidR="00E226ED" w:rsidRPr="00E226ED" w:rsidRDefault="00E226ED" w:rsidP="00E226ED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226ED">
        <w:rPr>
          <w:sz w:val="20"/>
          <w:szCs w:val="20"/>
        </w:rPr>
        <w:t xml:space="preserve">Veale J., Byrne J., Tan K., Guy S., Yee A., </w:t>
      </w:r>
      <w:proofErr w:type="spellStart"/>
      <w:r w:rsidRPr="00E226ED">
        <w:rPr>
          <w:sz w:val="20"/>
          <w:szCs w:val="20"/>
        </w:rPr>
        <w:t>Nopera</w:t>
      </w:r>
      <w:proofErr w:type="spellEnd"/>
      <w:r w:rsidRPr="00E226ED">
        <w:rPr>
          <w:sz w:val="20"/>
          <w:szCs w:val="20"/>
        </w:rPr>
        <w:t xml:space="preserve"> T. &amp; Bentham R. (2019). </w:t>
      </w:r>
      <w:r w:rsidRPr="00E226ED">
        <w:rPr>
          <w:i/>
          <w:sz w:val="20"/>
          <w:szCs w:val="20"/>
        </w:rPr>
        <w:t>Counting Ourselves: The health and wellbeing of trans and non-binary people in Aotearoa New Zealand.</w:t>
      </w:r>
      <w:r w:rsidRPr="00E226ED">
        <w:rPr>
          <w:sz w:val="20"/>
          <w:szCs w:val="20"/>
        </w:rPr>
        <w:t xml:space="preserve"> Transgender Health Research Lab, University of Waikato: Hamilton NZ. </w:t>
      </w:r>
      <w:hyperlink r:id="rId1" w:history="1">
        <w:r w:rsidRPr="00832240">
          <w:rPr>
            <w:rStyle w:val="Hyperlink"/>
            <w:sz w:val="20"/>
            <w:szCs w:val="20"/>
          </w:rPr>
          <w:t>https://countingourselves.nz/index.php/community-report</w:t>
        </w:r>
      </w:hyperlink>
      <w:r>
        <w:rPr>
          <w:sz w:val="20"/>
          <w:szCs w:val="20"/>
        </w:rPr>
        <w:t xml:space="preserve"> </w:t>
      </w:r>
    </w:p>
    <w:p w:rsidR="00E226ED" w:rsidRPr="00E226ED" w:rsidRDefault="00E226ED" w:rsidP="00E226ED">
      <w:pPr>
        <w:rPr>
          <w:sz w:val="20"/>
          <w:szCs w:val="20"/>
        </w:rPr>
      </w:pPr>
      <w:r w:rsidRPr="00E226ED">
        <w:rPr>
          <w:sz w:val="20"/>
          <w:szCs w:val="20"/>
        </w:rPr>
        <w:t xml:space="preserve">Veale, J. F., Tan, K. K. H., &amp; Byrne, J. L. (2021). Gender identity change efforts faced by trans and non-binary people in New Zealand: Associations with demographics, family rejection, internalized transphobia, and mental health. </w:t>
      </w:r>
      <w:r w:rsidRPr="00E226ED">
        <w:rPr>
          <w:i/>
          <w:sz w:val="20"/>
          <w:szCs w:val="20"/>
        </w:rPr>
        <w:t>Psychology of Sexual Orientation and Gender Diversity.</w:t>
      </w:r>
      <w:r w:rsidRPr="00E226ED">
        <w:rPr>
          <w:sz w:val="20"/>
          <w:szCs w:val="20"/>
        </w:rPr>
        <w:t xml:space="preserve"> Advance online publication. </w:t>
      </w:r>
      <w:hyperlink r:id="rId2" w:history="1">
        <w:r w:rsidRPr="00832240">
          <w:rPr>
            <w:rStyle w:val="Hyperlink"/>
            <w:sz w:val="20"/>
            <w:szCs w:val="20"/>
          </w:rPr>
          <w:t>https://doi.org/10.1037/sgd0000537</w:t>
        </w:r>
      </w:hyperlink>
      <w:r>
        <w:rPr>
          <w:sz w:val="20"/>
          <w:szCs w:val="20"/>
        </w:rPr>
        <w:t xml:space="preserve"> </w:t>
      </w:r>
    </w:p>
    <w:p w:rsidR="00E226ED" w:rsidRDefault="00E226ED">
      <w:pPr>
        <w:pStyle w:val="FootnoteText"/>
      </w:pPr>
    </w:p>
  </w:footnote>
  <w:footnote w:id="2">
    <w:p w:rsidR="00E226ED" w:rsidRPr="00E226ED" w:rsidRDefault="00E226ED" w:rsidP="00E226E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6AA7A7"/>
          <w:sz w:val="20"/>
          <w:szCs w:val="20"/>
        </w:rPr>
      </w:pPr>
      <w:r>
        <w:rPr>
          <w:rStyle w:val="FootnoteReference"/>
        </w:rPr>
        <w:footnoteRef/>
      </w:r>
      <w:r w:rsidRPr="00E226ED">
        <w:t xml:space="preserve"> </w:t>
      </w:r>
      <w:r w:rsidRPr="00E226ED">
        <w:rPr>
          <w:sz w:val="20"/>
          <w:szCs w:val="20"/>
        </w:rPr>
        <w:t xml:space="preserve">See for example, these position statements from the </w:t>
      </w:r>
      <w:hyperlink r:id="rId3" w:history="1">
        <w:r w:rsidRPr="00E226ED">
          <w:rPr>
            <w:rStyle w:val="Hyperlink"/>
            <w:sz w:val="20"/>
            <w:szCs w:val="20"/>
          </w:rPr>
          <w:t>NZ Association of Counsellors</w:t>
        </w:r>
      </w:hyperlink>
      <w:r w:rsidRPr="00E226ED">
        <w:rPr>
          <w:sz w:val="20"/>
          <w:szCs w:val="20"/>
        </w:rPr>
        <w:t xml:space="preserve">, the </w:t>
      </w:r>
      <w:hyperlink r:id="rId4" w:history="1">
        <w:r w:rsidRPr="00E226ED">
          <w:rPr>
            <w:rStyle w:val="Hyperlink"/>
            <w:sz w:val="20"/>
            <w:szCs w:val="20"/>
          </w:rPr>
          <w:t>NZ Psychologists Board</w:t>
        </w:r>
      </w:hyperlink>
      <w:r w:rsidRPr="00E226ED">
        <w:rPr>
          <w:sz w:val="20"/>
          <w:szCs w:val="20"/>
        </w:rPr>
        <w:t xml:space="preserve"> and the </w:t>
      </w:r>
      <w:hyperlink r:id="rId5" w:history="1">
        <w:r w:rsidRPr="00E226ED">
          <w:rPr>
            <w:rStyle w:val="Hyperlink"/>
            <w:sz w:val="20"/>
            <w:szCs w:val="20"/>
          </w:rPr>
          <w:t>NZ Psychological Society</w:t>
        </w:r>
      </w:hyperlink>
      <w:r w:rsidRPr="00E226ED">
        <w:rPr>
          <w:sz w:val="20"/>
          <w:szCs w:val="20"/>
        </w:rPr>
        <w:t xml:space="preserve">, these media releases from the </w:t>
      </w:r>
      <w:hyperlink r:id="rId6" w:history="1">
        <w:r w:rsidRPr="00E226ED">
          <w:rPr>
            <w:rStyle w:val="Hyperlink"/>
            <w:sz w:val="20"/>
            <w:szCs w:val="20"/>
          </w:rPr>
          <w:t>NZ Medical Association</w:t>
        </w:r>
      </w:hyperlink>
      <w:r w:rsidRPr="00E226ED">
        <w:rPr>
          <w:sz w:val="20"/>
          <w:szCs w:val="20"/>
        </w:rPr>
        <w:t xml:space="preserve"> and the </w:t>
      </w:r>
      <w:hyperlink r:id="rId7" w:history="1">
        <w:r w:rsidRPr="000D1159">
          <w:rPr>
            <w:rStyle w:val="Hyperlink"/>
            <w:sz w:val="20"/>
            <w:szCs w:val="20"/>
          </w:rPr>
          <w:t>Aotearoa New Zealand Association of Social Workers</w:t>
        </w:r>
      </w:hyperlink>
      <w:r w:rsidRPr="00E226ED">
        <w:rPr>
          <w:sz w:val="20"/>
          <w:szCs w:val="20"/>
        </w:rPr>
        <w:t xml:space="preserve"> and submissions on the Conversion Practices Prohibition Legislation Bill, including from the </w:t>
      </w:r>
      <w:hyperlink r:id="rId8" w:history="1">
        <w:r w:rsidRPr="000D1159">
          <w:rPr>
            <w:rStyle w:val="Hyperlink"/>
            <w:sz w:val="20"/>
            <w:szCs w:val="20"/>
          </w:rPr>
          <w:t>NZ Association of Child and Adolescent Psychotherapists</w:t>
        </w:r>
      </w:hyperlink>
      <w:r w:rsidRPr="00E226ED">
        <w:rPr>
          <w:sz w:val="20"/>
          <w:szCs w:val="20"/>
        </w:rPr>
        <w:t xml:space="preserve">, and the </w:t>
      </w:r>
      <w:hyperlink r:id="rId9" w:history="1">
        <w:r w:rsidRPr="00FF2319">
          <w:rPr>
            <w:rStyle w:val="Hyperlink"/>
            <w:sz w:val="20"/>
            <w:szCs w:val="20"/>
          </w:rPr>
          <w:t>Institute of Community Psychologists Aotearoa</w:t>
        </w:r>
      </w:hyperlink>
      <w:r w:rsidRPr="00E226ED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6C4D"/>
    <w:multiLevelType w:val="hybridMultilevel"/>
    <w:tmpl w:val="0AD02F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B5093"/>
    <w:multiLevelType w:val="hybridMultilevel"/>
    <w:tmpl w:val="5E1CE756"/>
    <w:lvl w:ilvl="0" w:tplc="D3EC90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D"/>
    <w:rsid w:val="00013051"/>
    <w:rsid w:val="000D1159"/>
    <w:rsid w:val="00676B89"/>
    <w:rsid w:val="006A43E6"/>
    <w:rsid w:val="00743F9A"/>
    <w:rsid w:val="00E226ED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846D"/>
  <w15:chartTrackingRefBased/>
  <w15:docId w15:val="{5678C65A-5513-4254-93D0-C543C2D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6ED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2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26ED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26ED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226ED"/>
    <w:pPr>
      <w:spacing w:before="200"/>
      <w:ind w:left="567" w:right="567"/>
      <w:jc w:val="center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26ED"/>
    <w:rPr>
      <w:b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26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6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6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2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nz/resource/en-NZ/53SCJU_EVI_113397_JU16503/5e2a3b52dbb12da8268c7dd5a0ce8b13b5a1e02c" TargetMode="External"/><Relationship Id="rId3" Type="http://schemas.openxmlformats.org/officeDocument/2006/relationships/hyperlink" Target="https://www.nzac.org.nz/assets/Ethics/Conversion-Therapy-2020.pdf" TargetMode="External"/><Relationship Id="rId7" Type="http://schemas.openxmlformats.org/officeDocument/2006/relationships/hyperlink" Target="https://www.parliament.nz/resource/en-NZ/53SCJU_EVI_113397_JU16503/5e2a3b52dbb12da8268c7dd5a0ce8b13b5a1e02c" TargetMode="External"/><Relationship Id="rId2" Type="http://schemas.openxmlformats.org/officeDocument/2006/relationships/hyperlink" Target="https://doi.org/10.1037/sgd0000537" TargetMode="External"/><Relationship Id="rId1" Type="http://schemas.openxmlformats.org/officeDocument/2006/relationships/hyperlink" Target="https://countingourselves.nz/index.php/community-report" TargetMode="External"/><Relationship Id="rId6" Type="http://schemas.openxmlformats.org/officeDocument/2006/relationships/hyperlink" Target="https://www.nzma.org.nz/news-and-media/news/conversion-therapy-has-no-place-in-new-zealand/" TargetMode="External"/><Relationship Id="rId5" Type="http://schemas.openxmlformats.org/officeDocument/2006/relationships/hyperlink" Target="https://www.psychology.org.nz/application/files/9016/1350/6552/conversion_therapy_statement_-_Final_2-21.pdf" TargetMode="External"/><Relationship Id="rId4" Type="http://schemas.openxmlformats.org/officeDocument/2006/relationships/hyperlink" Target="https://psychologistsboard.org.nz/wp-content/uploads/2021/06/Sex-sexuality-and-gender-diversity-270819.pdf" TargetMode="External"/><Relationship Id="rId9" Type="http://schemas.openxmlformats.org/officeDocument/2006/relationships/hyperlink" Target="https://www.parliament.nz/resource/en-NZ/53SCJU_EVI_113397_JU16647/e2828719931126413b7968c7f0f4a7fd7ce2da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8351-4010-4B8C-82EA-B49765AF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Clunie</dc:creator>
  <cp:keywords/>
  <dc:description/>
  <cp:lastModifiedBy>Moira Clunie</cp:lastModifiedBy>
  <cp:revision>2</cp:revision>
  <dcterms:created xsi:type="dcterms:W3CDTF">2021-11-02T20:09:00Z</dcterms:created>
  <dcterms:modified xsi:type="dcterms:W3CDTF">2021-11-02T20:39:00Z</dcterms:modified>
</cp:coreProperties>
</file>